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Кардиология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03:38 МСК · База обновлена: 17.07.2026, 21:52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69 лет обратилась к участковому врачу-терапевту.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давящие загрудинные боли, которые появляются при спокойной ходьбе на расстояние 150-200 м и проходят через несколько минут после прекращения нагрузки.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Боли при ходьбе беспокоят на протяжение года. Отмечает постепенное снижение толерантности к физической нагрузке.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Хронические заболевания отрицает;</w:t>
        <w:br/>
        <w:t>*</w:t>
        <w:tab/>
        <w:t>в настоящее время не курит, алкоголем не злоупотребляет;</w:t>
        <w:br/>
        <w:t>*</w:t>
        <w:tab/>
        <w:t>профессиональных вредностей не имела;</w:t>
        <w:br/>
        <w:t>*</w:t>
        <w:tab/>
        <w:t>аллергических реакций не было.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165 см, масса тела 65 кг. Кожные покровы обычной окраски и влажности. Периферических отеков нет. Дыхание везикулярное, хрипов нет. ЧДД 14 в 1 мин. Тоны сердца ясные, ритмичные. ЧСС 72 в 1 мин, АД 165/95 мм рт. ст. Живот мягкий, безболезненный. Печень по краю реберной дуги.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в данной ситуации инструментальным методам исследования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нагрузочная проба под визуальным контролем (стресс-ЭхоКГ)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трансторакальное эхокардиографическое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чреспищеводное эхокардиографическое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амбулаторное (суточное) мониторирование АД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амбулаторное (суточное) мониторирование ЭКГ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ЭКГ в 12 отведениях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нагрузочная проба под визуальным контролем (стресс-ЭхоКГ); 2 — трансторакальное эхокардиографическое исследование; 6 — регистрация ЭКГ в 12 отведениях</w:t>
      </w:r>
    </w:p>
    <w:p>
      <w:pPr>
        <w:ind w:left="504"/>
      </w:pPr>
      <w:r>
        <w:rPr>
          <w:b w:val="0"/>
          <w:i/>
        </w:rPr>
        <w:t>В качестве первого специфического метода для диагностики ИБС рекомендуется один из неинвазивных визуализирующих стресс-методов (эхокардиография (ЭхоКГ) с физической нагрузкой, или с чреспищеводной стимуляцией (ЧПЭС), или с фармакологической нагрузкой – стресс-эхокардиография (Стресс-ЭхоКГ);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Трансторакальная эхокардиография (ЭхоКГ) в состоянии покоя с использованием допплеровских режимов рекомендована всем пациентам с подозрением на ИБС для: 1) исключения других причин боли в грудной клетке; 2) выявления нарушений локальной сократимости (НЛС) левого желудочка; 3) измерения фракции выброса (ФВ) ЛЖ; 4) оценки диастолической функции ЛЖ; 5) выявления патологии клапанного аппарата сердца.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Регистрация 12-канальной электрокардиограммы (ЭКГ) в покое и расшифровка, описание и интерпретация электрокардиографических данных рекомендована всем пациентам с подозрением на ИБС для выявления признаков ишемии в покое (в том числе, безболевой ишемии миокарда), а также возможного наличия зубца Q, сопутствующих нарушений ритма и проводимости сердца.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необходимым в данной ситуации лабораторным методам исследования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уровня тиреоидных гормонов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липидного спектра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уровня креатинина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уровня калия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определение уровня высокочувствительного тропонина I в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исследование липидного спектра крови; 3 — клинический анализ крови; 4 — исследование уровня креатинина в крови</w:t>
      </w:r>
    </w:p>
    <w:p>
      <w:pPr>
        <w:ind w:left="504"/>
      </w:pPr>
      <w:r>
        <w:rPr>
          <w:b w:val="0"/>
          <w:i/>
        </w:rPr>
        <w:t>Всем пациентам с ИБС или подозрением на нее рекомендуется провести анализ крови для оценки нарушений липидного обмена, биохимический (анализ крови биохимический общетерапевтический), включая исследование уровня общего исследование уровня холестерина в крови, исследование уровня холестерина липопротеидов низкой плотности (ХсЛНП), исследование уровня триглицеридов (ТГ), холестерина липопротеинов высокой плотности в крови (ХcЛПВП) с целью выявления фактора риска и, при необходимости, коррекции терапии.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ИБС или подозрением на нее при первичном обращении рекомендуется проводить общий (клинический) анализ крови развернутый с исследованием уровня гемоглобина, эритроцитов и лейкоцитов в крови для исключения возможных сопутствующих заболеваний, а также вторичного характера возникновения стенокардии.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ИБС или подозрением на нее для определения возможности назначения некоторых лекарственных средств, а также коррекции их доз рекомендуется провести исследование уровня креатинина в крови и оценить состояние функции почек по расчетной скорости клубочковой фильтрации (СКФ) или клиренсу креатинина (КК) (таблица ПБ1-3, Приложение Б1).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Жалобы пациента соответствуют клинической картине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типичной стенокардии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атипичной стенокардии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кардиалгии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перикардитической боли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типичной стенокардии</w:t>
      </w:r>
    </w:p>
    <w:p>
      <w:pPr>
        <w:ind w:left="504"/>
      </w:pPr>
      <w:r>
        <w:rPr>
          <w:b w:val="0"/>
          <w:i/>
        </w:rPr>
        <w:t>Признаки типичной (несомненной) стенокардии напряжения:</w:t>
        <w:br/>
        <w:br/>
        <w:t>1) боль (или дискомфорт) в области грудины, возможно, с иррадиацией в левую руку, спину или нижнюю челюсть, реже - в эпигастральную область, длительностью от 2 до 5 (менее 20) мин. Эквивалентами боли бывают: одышка, ощущение «тяжести», «жжения»;</w:t>
        <w:br/>
        <w:br/>
        <w:t>2) вышеописанная боль возникает во время физической нагрузки или выраженного психоэмоционального стресса;</w:t>
        <w:br/>
        <w:br/>
        <w:t>3) вышеописанная боль быстро исчезает после прекращения физической нагрузки или через 1–3 минуты после приема нитроглицерина.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Жалобы пациента позволяют диагностировать стенокардию напряжения +______+ функционального класса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IV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III</w:t>
      </w:r>
    </w:p>
    <w:p>
      <w:pPr>
        <w:ind w:left="504"/>
      </w:pPr>
      <w:r>
        <w:rPr>
          <w:b w:val="0"/>
          <w:i/>
        </w:rPr>
        <w:t>Приступы стенокардии резко ограничивают физическую активность: возникают при незначительной физической нагрузке: ходьбе в среднем темпе до 500 м, при подъеме по лестнице на 1—2 пролета. Изредка приступы возникают в покое.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План дальнейшего обследования и лечения больного строится исходя из полученных первичных данных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суммы баллов по шкале GRACE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суммы баллов по шкале SCORE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суммы баллов по шкале TIMI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предтестовой вероятности (ПТВ) диагноза ИБС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предтестовой вероятности (ПТВ) диагноза ИБС</w:t>
      </w:r>
    </w:p>
    <w:p>
      <w:pPr>
        <w:ind w:left="504"/>
      </w:pPr>
      <w:r>
        <w:rPr>
          <w:b w:val="0"/>
          <w:i/>
        </w:rPr>
        <w:t>В зависимости от предтестовой вероятности определяется последующий объем исследований</w:t>
        <w:br/>
        <w:br/>
        <w:t>Рис. 13. Выбор визуализирующего метода исследования</w:t>
        <w:br/>
        <w:br/>
        <w:t>{nbsp}</w:t>
        <w:br/>
        <w:br/>
        <w:t>{nbsp}</w:t>
        <w:br/>
        <w:br/>
        <w:t>Сердечно-сосудистые заболевания / под ред. В. Н. Лариной. - Москва : ГЭОТАР-Медиа, 2022. - 192 с . : ил. - (Серия "На амбулаторном приеме"). - DOI: 10.33029/9704-6937-8-CVD-2022-1-192. - ISBN 978-5-9704-6937-8.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Результаты +______________________+ позволяют констатировать у данного пациента высокий риск смерти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трансторакальной эхокардиографии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стресс-эхокардиографии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холтеровского мониторирования ЭКГ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оценки предтестовой вероятности ИБС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стресс-эхокардиографии</w:t>
      </w:r>
    </w:p>
    <w:p>
      <w:pPr>
        <w:ind w:left="504"/>
      </w:pPr>
      <w:r>
        <w:rPr>
          <w:b w:val="0"/>
          <w:i/>
        </w:rPr>
        <w:t>Больных с высоким риском осложнений (предполагаемая ежегодная смертность &gt;3%) следует направлять на КАГ без дальнейших неинвазивных исследований. Эти пациенты имеют следующие признаки по данным инструментальных неинвазивных обследований: низкий тредмил-индекс [&lt;(-11)], тяжелая дисфункция ЛЖ в покое (ОФВ &lt;35%) или при нагрузке, крупный дефект перфузии при нагрузке (особенно в передней стенке ЛЖ), либо множественные умеренные дефекты перфузии миокарда при нагрузке, либо крупный необратимый дефект перфузии миокарда в сочетании с постстрессовой дилатацией ЛЖ или увеличением поглощения индикатора легочной тканью, при стресс-эхокардиографии (стресс-ЭхоКГ) - нарушение локальной сократимости более чем в двух сегментах на фоне введения низких доз фармакологического препарата или при низкой ЧСС (&lt;120 уд./мин) либо распространенный гипокинез по данным стресс-ЭхоКГ с использованием иных методов нагрузки.</w:t>
        <w:br/>
        <w:br/>
        <w:t>Общая врачебная практика. Т. 1 : национальное руководство / под ред. О. Ю. Кузнецовой, О. М. Лесняк, Е. В. Фроловой. - 2-е изд. , перераб. и доп. - Москва : ГЭОТАР-Медиа, 2020. - 1024 с. - ISBN 978-5-9704-5520-3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Сопутствующим заболеванием служит гипертоническая болезнь +_____+  стадии с артериальной гипертензией +_____+ 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II;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III; 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III; 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II; 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III;  2</w:t>
      </w:r>
    </w:p>
    <w:p>
      <w:pPr>
        <w:ind w:left="504"/>
      </w:pPr>
      <w:r>
        <w:rPr>
          <w:b w:val="0"/>
          <w:i/>
        </w:rPr>
        <w:t>Гипертоническая болезнь (далее - ГБ) - хронически протекающее заболевание, основным проявлением которого является повышение АД, не связанное с выявлением явных причин, приводящих к развитию вторичных форм АГ (симптоматические АГ).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Классификация уровней АД у лиц старше 18 лет представлена в таблице П2, Приложение А3.</w:t>
        <w:br/>
        <w:br/>
      </w:r>
      <w:hyperlink r:id="rId37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Стадия III определяется наличием АКС, в том числе ХБП, и/или СД с поражением органов-мишеней.</w:t>
        <w:br/>
        <w:br/>
      </w:r>
      <w:hyperlink r:id="rId38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br/>
        <w:br/>
        <w:t>На основании уровня АД, наличия ФР, ПОМ, АКС, СД выделяют 5 категорий риска СС осложнений: низкий (риск 1), умеренный (риск 2), высокий (риск 3), очень высокий (риск 4) и экстремальный (риск 5) (Приложение Г2). Наиболее значимым является определение категории риска у пациентов с гипертонической болезнью I и II стадий.</w:t>
        <w:br/>
        <w:br/>
      </w:r>
      <w:hyperlink r:id="rId39">
        <w:r>
          <w:rPr>
            <w:color w:val="173C49"/>
            <w:u w:val="single"/>
          </w:rPr>
          <w:t>(4)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качестве стартовой антиангинальной терапии можно назначить комбинацию бисопролола 5 мг 1 раз в день и +____________________+  мг +______+ раз(а)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ивабрадина 5; 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амлодипина 5; 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нитросорбида 10;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верапамила 40; 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амлодипина 5; 1</w:t>
      </w:r>
    </w:p>
    <w:p>
      <w:pPr>
        <w:ind w:left="504"/>
      </w:pPr>
      <w:r>
        <w:rPr>
          <w:b w:val="0"/>
          <w:i/>
        </w:rPr>
        <w:t>При стабильной стенокардии III—IV ФК при отсутствии противопоказаний рекомендуется сразу назначить комбинацию БАБ с дигидропиридиновыми блокаторами «медленных» кальциевых каналов (ДГП-БКК) для достижения ФК I.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Прием бета-адреноблокатора должен обеспечить снижение ЧСС в покое до +________+ в 1 мин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50–60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40–50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60–70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70–80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50–60</w:t>
      </w:r>
    </w:p>
    <w:p>
      <w:pPr>
        <w:ind w:left="504"/>
      </w:pPr>
      <w:r>
        <w:rPr>
          <w:b w:val="0"/>
          <w:i/>
        </w:rPr>
        <w:t>При применении БАБ наибольшее снижение потребности миокарда в кислороде и прирост коронарного кровотока достигается при ЧСС 55—60 уд/мин.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сохранении приступов стенокардии на фоне целевой ЧСС к терапии можно добавить +_______________+  мг +_____+ раза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дилтиазем 120; 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нитросорбид 10;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верапамил 40; 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дилтиазем 60; 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нитросорбид 10; 2</w:t>
      </w:r>
    </w:p>
    <w:p>
      <w:pPr>
        <w:ind w:left="504"/>
      </w:pPr>
      <w:r>
        <w:rPr>
          <w:b w:val="0"/>
          <w:i/>
        </w:rPr>
        <w:t>НДД должны быть рассмотрены как препараты второй линии терапии, когда начальная терапия БАБ или не-ДГП-БКК противопоказана, плохо переносится или недостаточна для контроля симптомов стенокардии [237, 238]. При назначении НДД для снижения толерантности к ним должно быть рассмотрен ежедневный интервал без нитратов 10-14 часов.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профилактики сердечно-сосудистых осложнений пациентке должны быть назначены статины в дозе, обеспечивающей уровень ХС ЛПНП не выше _____ ммоль/л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2,2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1,4</w:t>
      </w:r>
    </w:p>
    <w:p>
      <w:pPr>
        <w:ind w:left="504"/>
      </w:pPr>
      <w:r>
        <w:rPr>
          <w:b w:val="0"/>
          <w:i/>
        </w:rPr>
        <w:t>У пациентов очень высокого риска рекомендовано достижение целевого уровня ХС ЛНП &lt; 1,4 ммоль/л и снижение по меньшей мере на 50% от исходного через 8 ± 4 недель терапии как для первичной, так и вторичной профилактики ССО.</w:t>
        <w:br/>
        <w:br/>
      </w:r>
      <w:hyperlink r:id="rId43">
        <w:r>
          <w:rPr>
            <w:color w:val="173C49"/>
            <w:u w:val="single"/>
          </w:rPr>
          <w:t>Клинические рекомендации Минздрава России. Нарушения липидного обмена, 2023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Для профилактики сердечно-сосудистых осложнений пациенту следует назначить +________________+ мг 1 раз в день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ацетилсалициловую кислоту 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клопидогрел 300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ацетилсалициловую кислоту 250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клопидогрел 75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ацетилсалициловую кислоту 100</w:t>
      </w:r>
    </w:p>
    <w:p>
      <w:pPr>
        <w:ind w:left="504"/>
      </w:pPr>
      <w:r>
        <w:rPr>
          <w:b w:val="0"/>
          <w:i/>
        </w:rPr>
        <w:t>Для профилактики ССО всем пациентам со стабильной ИБС в качестве ингибитора агрегации тромбоцитов рекомендуется назначение ацетилсалициловой кислоты (АСК)** в дозе 75–100 мг в сутки.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3027862"/>
            <wp:docPr id="20" name="Picture 2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a42017226e7dfa06930a6cfdbdd552472e8cbc2.jpg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027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рис.13.jpg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Кардиология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155_24/" TargetMode="External"/><Relationship Id="rId23" Type="http://schemas.openxmlformats.org/officeDocument/2006/relationships/hyperlink" Target="https://library.mededtech.ru/rest/documents/KP155_24/#list_item_n1i1eo" TargetMode="External"/><Relationship Id="rId24" Type="http://schemas.openxmlformats.org/officeDocument/2006/relationships/hyperlink" Target="https://library.mededtech.ru/rest/documents/KP155_24/#list_item_2p39pm" TargetMode="External"/><Relationship Id="rId25" Type="http://schemas.openxmlformats.org/officeDocument/2006/relationships/hyperlink" Target="https://library.mededtech.ru/rest/documents/KP155_24/#list_item_udpfta" TargetMode="External"/><Relationship Id="rId26" Type="http://schemas.openxmlformats.org/officeDocument/2006/relationships/image" Target="media/image7.png"/><Relationship Id="rId27" Type="http://schemas.openxmlformats.org/officeDocument/2006/relationships/image" Target="media/image8.png"/><Relationship Id="rId28" Type="http://schemas.openxmlformats.org/officeDocument/2006/relationships/hyperlink" Target="https://library.mededtech.ru/rest/documents/KP155_24/#list_item_ike75r" TargetMode="External"/><Relationship Id="rId29" Type="http://schemas.openxmlformats.org/officeDocument/2006/relationships/hyperlink" Target="https://library.mededtech.ru/rest/documents/KP155_24/#list_item_f77pd5" TargetMode="External"/><Relationship Id="rId30" Type="http://schemas.openxmlformats.org/officeDocument/2006/relationships/hyperlink" Target="https://library.mededtech.ru/rest/documents/KP155_24/#list_item_du74n4" TargetMode="External"/><Relationship Id="rId31" Type="http://schemas.openxmlformats.org/officeDocument/2006/relationships/hyperlink" Target="https://library.mededtech.ru/rest/documents/KP155_24/index.html#paragraph_sato36" TargetMode="External"/><Relationship Id="rId32" Type="http://schemas.openxmlformats.org/officeDocument/2006/relationships/hyperlink" Target="https://library.mededtech.ru/rest/documents/KP155_24/index.html#list_item_ulvcft" TargetMode="External"/><Relationship Id="rId33" Type="http://schemas.openxmlformats.org/officeDocument/2006/relationships/hyperlink" Target="https://library.mededtech.ru/rest/documents/ISBN9785970469378/?anchor=paragraph_j1dd7s#paragraph_j1dd7s" TargetMode="External"/><Relationship Id="rId34" Type="http://schemas.openxmlformats.org/officeDocument/2006/relationships/hyperlink" Target="https://library.mededtech.ru/rest/documents/ISBN9785970455203/?anchor=paragraph_8v0v96#paragraph_8v0v96" TargetMode="External"/><Relationship Id="rId35" Type="http://schemas.openxmlformats.org/officeDocument/2006/relationships/hyperlink" Target="https://library.mededtech.ru/rest/documents/KP62_24/" TargetMode="External"/><Relationship Id="rId36" Type="http://schemas.openxmlformats.org/officeDocument/2006/relationships/hyperlink" Target="https://library.mededtech.ru/rest/documents/KP62_24/#paragraph_invrd1" TargetMode="External"/><Relationship Id="rId37" Type="http://schemas.openxmlformats.org/officeDocument/2006/relationships/hyperlink" Target="https://library.mededtech.ru/rest/documents/KP62_24/#paragraph_mmqc80" TargetMode="External"/><Relationship Id="rId38" Type="http://schemas.openxmlformats.org/officeDocument/2006/relationships/hyperlink" Target="https://library.mededtech.ru/rest/documents/KP62_24/#paragraph_02knai" TargetMode="External"/><Relationship Id="rId39" Type="http://schemas.openxmlformats.org/officeDocument/2006/relationships/hyperlink" Target="https://library.mededtech.ru/rest/documents/KP62_24/#paragraph_kkhn53" TargetMode="External"/><Relationship Id="rId40" Type="http://schemas.openxmlformats.org/officeDocument/2006/relationships/hyperlink" Target="https://library.mededtech.ru/rest/documents/KP155_24/#list_item_ar5scq" TargetMode="External"/><Relationship Id="rId41" Type="http://schemas.openxmlformats.org/officeDocument/2006/relationships/hyperlink" Target="https://library.mededtech.ru/rest/documents/KP155_24/index.html#paragraph_vmsbtn" TargetMode="External"/><Relationship Id="rId42" Type="http://schemas.openxmlformats.org/officeDocument/2006/relationships/hyperlink" Target="https://library.mededtech.ru/rest/documents/KP155_24/#list_item_8q8usk" TargetMode="External"/><Relationship Id="rId43" Type="http://schemas.openxmlformats.org/officeDocument/2006/relationships/hyperlink" Target="https://library.mededtech.ru/rest/documents/KP752/" TargetMode="External"/><Relationship Id="rId44" Type="http://schemas.openxmlformats.org/officeDocument/2006/relationships/hyperlink" Target="https://library.mededtech.ru/rest/documents/KP752/#list_item_m1jqh5" TargetMode="External"/><Relationship Id="rId45" Type="http://schemas.openxmlformats.org/officeDocument/2006/relationships/hyperlink" Target="https://library.mededtech.ru/rest/documents/KP155_24/#list_item_ik3827" TargetMode="External"/><Relationship Id="rId46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